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4A4B6CBB"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r w:rsidRPr="003954D5">
        <w:rPr>
          <w:rFonts w:ascii="Sylfaen" w:hAnsi="Sylfaen" w:cstheme="majorHAnsi"/>
          <w:b/>
          <w:bCs/>
        </w:rPr>
        <w:t>ნასყიდობის ხელშეკრულება</w:t>
      </w:r>
      <w:r w:rsidRPr="003954D5">
        <w:rPr>
          <w:rFonts w:ascii="Sylfaen" w:hAnsi="Sylfaen" w:cstheme="majorHAnsi"/>
          <w:b/>
          <w:bCs/>
          <w:lang w:val="ka-GE"/>
        </w:rPr>
        <w:t xml:space="preserve"> </w:t>
      </w:r>
      <w:r w:rsidRPr="003954D5">
        <w:rPr>
          <w:rFonts w:ascii="Sylfaen" w:hAnsi="Sylfaen" w:cstheme="majorHAnsi"/>
          <w:b/>
          <w:bCs/>
        </w:rPr>
        <w:t>№</w:t>
      </w:r>
    </w:p>
    <w:p w14:paraId="061CDE8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C9130A4" w14:textId="549D3741" w:rsidR="002E5F87" w:rsidRPr="003954D5" w:rsidRDefault="00B42FE8"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lang w:val="ka-GE"/>
        </w:rPr>
      </w:pPr>
      <w:r>
        <w:rPr>
          <w:rFonts w:ascii="Sylfaen" w:hAnsi="Sylfaen" w:cstheme="majorHAnsi"/>
          <w:b/>
          <w:bCs/>
          <w:lang w:val="ka-GE"/>
        </w:rPr>
        <w:t>უძრავი</w:t>
      </w:r>
      <w:r w:rsidR="002E5F87" w:rsidRPr="003954D5">
        <w:rPr>
          <w:rFonts w:ascii="Sylfaen" w:hAnsi="Sylfaen" w:cstheme="majorHAnsi"/>
          <w:b/>
          <w:bCs/>
          <w:lang w:val="ka-GE"/>
        </w:rPr>
        <w:t xml:space="preserve"> ქონების</w:t>
      </w:r>
      <w:r w:rsidR="002E5F87" w:rsidRPr="003954D5">
        <w:rPr>
          <w:rFonts w:ascii="Sylfaen" w:hAnsi="Sylfaen" w:cstheme="majorHAnsi"/>
          <w:b/>
          <w:bCs/>
        </w:rPr>
        <w:t xml:space="preserve"> აუქციონის ფორმით პრივატიზების </w:t>
      </w:r>
      <w:r w:rsidR="002E5F87" w:rsidRPr="003954D5">
        <w:rPr>
          <w:rFonts w:ascii="Sylfaen" w:hAnsi="Sylfaen" w:cstheme="majorHAnsi"/>
          <w:b/>
          <w:bCs/>
          <w:lang w:val="ka-GE"/>
        </w:rPr>
        <w:t>შესახებ</w:t>
      </w:r>
    </w:p>
    <w:p w14:paraId="0903D062"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725DFA0B"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A4E6BEA" w14:textId="55B27E0D" w:rsidR="002E5F87" w:rsidRPr="003954D5"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Sylfaen" w:hAnsi="Sylfaen" w:cstheme="majorHAnsi"/>
          <w:lang w:val="ka-GE"/>
        </w:rPr>
      </w:pPr>
      <w:r w:rsidRPr="003954D5">
        <w:rPr>
          <w:rFonts w:ascii="Sylfaen" w:hAnsi="Sylfaen" w:cstheme="majorHAnsi"/>
        </w:rPr>
        <w:t xml:space="preserve">      </w:t>
      </w:r>
      <w:r w:rsidR="002E5F87" w:rsidRPr="003954D5">
        <w:rPr>
          <w:rFonts w:ascii="Sylfaen" w:hAnsi="Sylfaen" w:cstheme="majorHAnsi"/>
        </w:rPr>
        <w:t>202</w:t>
      </w:r>
      <w:r w:rsidR="008731D5" w:rsidRPr="003954D5">
        <w:rPr>
          <w:rFonts w:ascii="Sylfaen" w:hAnsi="Sylfaen" w:cstheme="majorHAnsi"/>
          <w:lang w:val="ka-GE"/>
        </w:rPr>
        <w:t>2</w:t>
      </w:r>
      <w:r w:rsidR="002E5F87" w:rsidRPr="003954D5">
        <w:rPr>
          <w:rFonts w:ascii="Sylfaen" w:hAnsi="Sylfaen" w:cstheme="majorHAnsi"/>
        </w:rPr>
        <w:t xml:space="preserve"> წლის </w:t>
      </w:r>
      <w:r w:rsidR="002E5F87" w:rsidRPr="003954D5">
        <w:rPr>
          <w:rFonts w:ascii="Sylfaen" w:hAnsi="Sylfaen" w:cstheme="majorHAnsi"/>
          <w:lang w:val="ka-GE"/>
        </w:rPr>
        <w:t xml:space="preserve">____________                                                                                                         </w:t>
      </w:r>
      <w:proofErr w:type="gramStart"/>
      <w:r w:rsidR="0076464E" w:rsidRPr="0076464E">
        <w:rPr>
          <w:rFonts w:ascii="Sylfaen" w:hAnsi="Sylfaen" w:cstheme="majorHAnsi"/>
          <w:lang w:val="ka-GE"/>
        </w:rPr>
        <w:t>ქ.თბილისი</w:t>
      </w:r>
      <w:proofErr w:type="gramEnd"/>
      <w:r w:rsidR="002E5F87" w:rsidRPr="003954D5">
        <w:rPr>
          <w:rFonts w:ascii="Sylfaen" w:hAnsi="Sylfaen" w:cstheme="majorHAnsi"/>
          <w:lang w:val="ka-GE"/>
        </w:rPr>
        <w:t xml:space="preserve">                      </w:t>
      </w:r>
      <w:r w:rsidRPr="003954D5">
        <w:rPr>
          <w:rFonts w:ascii="Sylfaen" w:hAnsi="Sylfaen" w:cstheme="majorHAnsi"/>
        </w:rPr>
        <w:t xml:space="preserve">        </w:t>
      </w:r>
      <w:r w:rsidR="002E5F87" w:rsidRPr="003954D5">
        <w:rPr>
          <w:rFonts w:ascii="Sylfaen" w:hAnsi="Sylfaen" w:cstheme="majorHAnsi"/>
          <w:lang w:val="ka-GE"/>
        </w:rPr>
        <w:t xml:space="preserve"> </w:t>
      </w:r>
    </w:p>
    <w:p w14:paraId="4D8EA37C" w14:textId="77777777" w:rsidR="002E5F87" w:rsidRPr="003954D5"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4229DB7"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rPr>
        <w:t xml:space="preserve">წინამდებარე ნასყიდობის ხელშეკრულება (შემდგომში – ხელშეკრულება) </w:t>
      </w:r>
      <w:r w:rsidRPr="003954D5">
        <w:rPr>
          <w:rFonts w:ascii="Sylfaen" w:hAnsi="Sylfaen" w:cstheme="majorHAnsi"/>
          <w:lang w:val="ka-GE"/>
        </w:rPr>
        <w:t>დაიდო</w:t>
      </w:r>
      <w:r w:rsidRPr="003954D5">
        <w:rPr>
          <w:rFonts w:ascii="Sylfaen" w:hAnsi="Sylfaen" w:cstheme="majorHAnsi"/>
        </w:rPr>
        <w:t xml:space="preserve">, </w:t>
      </w:r>
      <w:r w:rsidRPr="003954D5">
        <w:rPr>
          <w:rFonts w:ascii="Sylfaen" w:hAnsi="Sylfaen" w:cstheme="majorHAnsi"/>
          <w:lang w:val="ka-GE"/>
        </w:rPr>
        <w:t>შემდეგ მხარეებს შორის:</w:t>
      </w:r>
    </w:p>
    <w:p w14:paraId="23118AE1" w14:textId="50BA0C15"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lang w:val="ka-GE"/>
        </w:rPr>
        <w:t>ერთი მხრივ - ს</w:t>
      </w:r>
      <w:r w:rsidR="00FC71D2" w:rsidRPr="003954D5">
        <w:rPr>
          <w:rFonts w:ascii="Sylfaen" w:hAnsi="Sylfaen" w:cstheme="majorHAnsi"/>
          <w:lang w:val="ka-GE"/>
        </w:rPr>
        <w:t>ს "თამ</w:t>
      </w:r>
      <w:r w:rsidR="00A11AA0" w:rsidRPr="003954D5">
        <w:rPr>
          <w:rFonts w:ascii="Sylfaen" w:hAnsi="Sylfaen" w:cstheme="majorHAnsi"/>
          <w:lang w:val="ka-GE"/>
        </w:rPr>
        <w:t>”</w:t>
      </w:r>
      <w:r w:rsidR="00FC71D2" w:rsidRPr="003954D5">
        <w:rPr>
          <w:rFonts w:ascii="Sylfaen" w:hAnsi="Sylfaen" w:cstheme="majorHAnsi"/>
          <w:lang w:val="ka-GE"/>
        </w:rPr>
        <w:t xml:space="preserve"> თბილავიამშენი</w:t>
      </w:r>
      <w:r w:rsidRPr="003954D5">
        <w:rPr>
          <w:rFonts w:ascii="Sylfaen" w:hAnsi="Sylfaen" w:cstheme="majorHAnsi"/>
        </w:rPr>
        <w:t xml:space="preserve"> (შემდგომში – გამყიდველი)  წარმოდგენილი </w:t>
      </w:r>
      <w:r w:rsidRPr="003954D5">
        <w:rPr>
          <w:rFonts w:ascii="Sylfaen" w:hAnsi="Sylfaen" w:cstheme="majorHAnsi"/>
          <w:lang w:val="ka-GE"/>
        </w:rPr>
        <w:t>გენერალური</w:t>
      </w:r>
      <w:r w:rsidR="008E1842" w:rsidRPr="003954D5">
        <w:rPr>
          <w:rFonts w:ascii="Sylfaen" w:hAnsi="Sylfaen" w:cstheme="majorHAnsi"/>
          <w:lang w:val="ka-GE"/>
        </w:rPr>
        <w:t xml:space="preserve"> დირექტორის</w:t>
      </w:r>
      <w:r w:rsidRPr="003954D5">
        <w:rPr>
          <w:rFonts w:ascii="Sylfaen" w:hAnsi="Sylfaen" w:cstheme="majorHAnsi"/>
          <w:lang w:val="ka-GE"/>
        </w:rPr>
        <w:t xml:space="preserve"> </w:t>
      </w:r>
      <w:r w:rsidR="00FC71D2" w:rsidRPr="003954D5">
        <w:rPr>
          <w:rFonts w:ascii="Sylfaen" w:hAnsi="Sylfaen" w:cstheme="majorHAnsi"/>
          <w:lang w:val="ka-GE"/>
        </w:rPr>
        <w:t>მიხეილ ოღლიშ</w:t>
      </w:r>
      <w:r w:rsidR="00A11AA0" w:rsidRPr="003954D5">
        <w:rPr>
          <w:rFonts w:ascii="Sylfaen" w:hAnsi="Sylfaen" w:cstheme="majorHAnsi"/>
          <w:lang w:val="ka-GE"/>
        </w:rPr>
        <w:t xml:space="preserve">ვილის სახით  </w:t>
      </w:r>
      <w:r w:rsidRPr="003954D5">
        <w:rPr>
          <w:rFonts w:ascii="Sylfaen" w:hAnsi="Sylfaen" w:cstheme="majorHAnsi"/>
        </w:rPr>
        <w:t xml:space="preserve">და </w:t>
      </w:r>
      <w:r w:rsidRPr="003954D5">
        <w:rPr>
          <w:rFonts w:ascii="Sylfaen" w:hAnsi="Sylfaen" w:cstheme="majorHAnsi"/>
          <w:lang w:val="ka-GE"/>
        </w:rPr>
        <w:t xml:space="preserve">მეორე მხრივ - </w:t>
      </w:r>
      <w:r w:rsidRPr="003954D5">
        <w:rPr>
          <w:rFonts w:ascii="Sylfaen" w:hAnsi="Sylfaen" w:cstheme="majorHAnsi"/>
        </w:rPr>
        <w:t>ქონების შემძენი,</w:t>
      </w:r>
      <w:r w:rsidRPr="003954D5">
        <w:rPr>
          <w:rFonts w:ascii="Sylfaen" w:hAnsi="Sylfaen" w:cstheme="majorHAnsi"/>
          <w:lang w:val="ka-GE"/>
        </w:rPr>
        <w:t xml:space="preserve">  _____________________ (საიდ.კოდი:___________________), </w:t>
      </w:r>
      <w:r w:rsidR="0040547A" w:rsidRPr="003954D5">
        <w:rPr>
          <w:rFonts w:ascii="Sylfaen" w:hAnsi="Sylfaen" w:cstheme="majorHAnsi"/>
          <w:lang w:val="ka-GE"/>
        </w:rPr>
        <w:t xml:space="preserve">(შემდგომში - მყიდველი) </w:t>
      </w:r>
      <w:r w:rsidRPr="003954D5">
        <w:rPr>
          <w:rFonts w:ascii="Sylfaen" w:hAnsi="Sylfaen" w:cstheme="majorHAnsi"/>
          <w:lang w:val="ka-GE"/>
        </w:rPr>
        <w:t xml:space="preserve">წარმოდგენილი  ____________________________სახით (პ.ნ. ____________________) </w:t>
      </w:r>
    </w:p>
    <w:p w14:paraId="7309A88F"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rPr>
        <w:t>თითოეული წოდებული მხარედ, ხოლო ერთობლივად – მხარეები,</w:t>
      </w:r>
    </w:p>
    <w:p w14:paraId="54947973"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p>
    <w:p w14:paraId="5F040239" w14:textId="1E26E0B6" w:rsidR="002E5F87" w:rsidRPr="003954D5" w:rsidRDefault="008D6111"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Pr="003954D5">
        <w:rPr>
          <w:rFonts w:ascii="Sylfaen" w:hAnsi="Sylfaen" w:cstheme="majorHAnsi"/>
        </w:rPr>
        <w:t xml:space="preserve"> </w:t>
      </w:r>
      <w:r w:rsidRPr="003954D5">
        <w:rPr>
          <w:rFonts w:ascii="Sylfaen" w:hAnsi="Sylfaen" w:cstheme="majorHAnsi"/>
          <w:lang w:val="ka-GE"/>
        </w:rPr>
        <w:t xml:space="preserve">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w:t>
      </w:r>
      <w:r w:rsidR="002E5F87" w:rsidRPr="003954D5">
        <w:rPr>
          <w:rFonts w:ascii="Sylfaen" w:hAnsi="Sylfaen" w:cstheme="majorHAnsi"/>
          <w:lang w:val="ka-GE"/>
        </w:rPr>
        <w:t>„</w:t>
      </w:r>
      <w:r w:rsidR="00720A5F" w:rsidRPr="003954D5">
        <w:rPr>
          <w:rFonts w:ascii="Sylfaen" w:hAnsi="Sylfaen" w:cstheme="majorHAnsi"/>
          <w:lang w:val="ka-GE"/>
        </w:rPr>
        <w:t xml:space="preserve">სს „ თამ“ თბილავიამშენის და შპს „თამ-კერას“ კაპიტალში არსებული ან/და ბალანსზე რიცხული ქონების განკარგვისა და ელექტრონული აუქციონის ორგანიზების წესის დამტკიცების შესახებ </w:t>
      </w:r>
      <w:r w:rsidR="000736E6" w:rsidRPr="003954D5">
        <w:rPr>
          <w:rFonts w:ascii="Sylfaen" w:hAnsi="Sylfaen" w:cstheme="majorHAnsi"/>
          <w:lang w:val="ka-GE"/>
        </w:rPr>
        <w:t>და</w:t>
      </w:r>
      <w:r w:rsidR="00A11AA0" w:rsidRPr="003954D5">
        <w:rPr>
          <w:rFonts w:ascii="Sylfaen" w:hAnsi="Sylfaen" w:cstheme="majorHAnsi"/>
          <w:lang w:val="ka-GE"/>
        </w:rPr>
        <w:t xml:space="preserve"> სს „თამ“ თბილავიამშენის</w:t>
      </w:r>
      <w:r w:rsidR="002E5F87" w:rsidRPr="003954D5">
        <w:rPr>
          <w:rFonts w:ascii="Sylfaen" w:hAnsi="Sylfaen" w:cstheme="majorHAnsi"/>
          <w:lang w:val="ka-GE"/>
        </w:rPr>
        <w:t xml:space="preserve"> </w:t>
      </w:r>
      <w:r w:rsidR="009125C9" w:rsidRPr="003954D5">
        <w:rPr>
          <w:rFonts w:ascii="Sylfaen" w:hAnsi="Sylfaen" w:cstheme="majorHAnsi"/>
          <w:lang w:val="ka-GE"/>
        </w:rPr>
        <w:t xml:space="preserve"> გენერალური დირექტორის </w:t>
      </w:r>
      <w:r w:rsidR="009C7A82">
        <w:rPr>
          <w:rFonts w:ascii="Sylfaen" w:hAnsi="Sylfaen" w:cstheme="majorHAnsi"/>
          <w:lang w:val="ka-GE"/>
        </w:rPr>
        <w:t>15</w:t>
      </w:r>
      <w:r w:rsidR="009125C9" w:rsidRPr="003954D5">
        <w:rPr>
          <w:rFonts w:ascii="Sylfaen" w:hAnsi="Sylfaen" w:cstheme="majorHAnsi"/>
          <w:lang w:val="ka-GE"/>
        </w:rPr>
        <w:t>.</w:t>
      </w:r>
      <w:r w:rsidR="009C7A82">
        <w:rPr>
          <w:rFonts w:ascii="Sylfaen" w:hAnsi="Sylfaen" w:cstheme="majorHAnsi"/>
          <w:lang w:val="ka-GE"/>
        </w:rPr>
        <w:t>08.2022</w:t>
      </w:r>
      <w:r w:rsidR="009125C9" w:rsidRPr="003954D5">
        <w:rPr>
          <w:rFonts w:ascii="Sylfaen" w:hAnsi="Sylfaen" w:cstheme="majorHAnsi"/>
          <w:lang w:val="ka-GE"/>
        </w:rPr>
        <w:t xml:space="preserve"> №</w:t>
      </w:r>
      <w:r w:rsidR="009C7A82">
        <w:rPr>
          <w:rFonts w:ascii="Sylfaen" w:hAnsi="Sylfaen" w:cstheme="majorHAnsi"/>
          <w:lang w:val="ka-GE"/>
        </w:rPr>
        <w:t>102</w:t>
      </w:r>
      <w:r w:rsidR="009125C9" w:rsidRPr="003954D5">
        <w:rPr>
          <w:rFonts w:ascii="Sylfaen" w:hAnsi="Sylfaen" w:cstheme="majorHAnsi"/>
          <w:lang w:val="ka-GE"/>
        </w:rPr>
        <w:t xml:space="preserve"> ბრძანები</w:t>
      </w:r>
      <w:r w:rsidR="000736E6" w:rsidRPr="003954D5">
        <w:rPr>
          <w:rFonts w:ascii="Sylfaen" w:hAnsi="Sylfaen" w:cstheme="majorHAnsi"/>
          <w:lang w:val="ka-GE"/>
        </w:rPr>
        <w:t xml:space="preserve">თ </w:t>
      </w:r>
      <w:r w:rsidR="002E5F87" w:rsidRPr="003954D5">
        <w:rPr>
          <w:rFonts w:ascii="Sylfaen" w:hAnsi="Sylfaen"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002E5F87" w:rsidRPr="003954D5">
        <w:rPr>
          <w:rFonts w:ascii="Sylfaen" w:hAnsi="Sylfaen" w:cstheme="majorHAnsi"/>
        </w:rPr>
        <w:t xml:space="preserve"> </w:t>
      </w:r>
      <w:r w:rsidR="002E5F87" w:rsidRPr="003954D5">
        <w:rPr>
          <w:rFonts w:ascii="Sylfaen" w:hAnsi="Sylfaen" w:cstheme="majorHAnsi"/>
          <w:lang w:val="ka-GE"/>
        </w:rPr>
        <w:t xml:space="preserve">შედეგების </w:t>
      </w:r>
      <w:r w:rsidR="002E5F87" w:rsidRPr="003954D5">
        <w:rPr>
          <w:rFonts w:ascii="Sylfaen" w:hAnsi="Sylfaen" w:cstheme="majorHAnsi"/>
        </w:rPr>
        <w:t>საფუძველზე</w:t>
      </w:r>
      <w:r w:rsidR="002E5F87" w:rsidRPr="003954D5">
        <w:rPr>
          <w:rFonts w:ascii="Sylfaen" w:hAnsi="Sylfaen" w:cstheme="majorHAnsi"/>
          <w:lang w:val="ka-GE"/>
        </w:rPr>
        <w:t>,</w:t>
      </w:r>
      <w:r w:rsidR="002E5F87" w:rsidRPr="003954D5">
        <w:rPr>
          <w:rFonts w:ascii="Sylfaen" w:hAnsi="Sylfaen" w:cstheme="majorHAnsi"/>
        </w:rPr>
        <w:t xml:space="preserve"> ვდებთ წინამდებარე ხელშეკრულებას შემდეგი პირობებით:</w:t>
      </w:r>
    </w:p>
    <w:p w14:paraId="37D62F8E"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2EEB352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ხელშეკრულების საგანი და </w:t>
      </w:r>
      <w:r w:rsidRPr="003954D5">
        <w:rPr>
          <w:rFonts w:ascii="Sylfaen" w:hAnsi="Sylfaen" w:cstheme="majorHAnsi"/>
          <w:b/>
          <w:bCs/>
          <w:lang w:val="ka-GE"/>
        </w:rPr>
        <w:t>საპრივატიზებო თანხა</w:t>
      </w:r>
      <w:r w:rsidRPr="003954D5">
        <w:rPr>
          <w:rFonts w:ascii="Sylfaen" w:hAnsi="Sylfaen" w:cstheme="majorHAnsi"/>
          <w:b/>
          <w:bCs/>
        </w:rPr>
        <w:t xml:space="preserve"> </w:t>
      </w:r>
    </w:p>
    <w:p w14:paraId="1063C9FB" w14:textId="6C0AAEA5" w:rsidR="002E5F87" w:rsidRPr="003954D5"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t xml:space="preserve">წინამდებარე ხელშეკრულებით </w:t>
      </w:r>
      <w:proofErr w:type="gramStart"/>
      <w:r w:rsidRPr="003954D5">
        <w:rPr>
          <w:rFonts w:ascii="Sylfaen" w:hAnsi="Sylfaen" w:cstheme="majorHAnsi"/>
        </w:rPr>
        <w:t>ნაკისრი  ვალდებულებების</w:t>
      </w:r>
      <w:proofErr w:type="gramEnd"/>
      <w:r w:rsidRPr="003954D5">
        <w:rPr>
          <w:rFonts w:ascii="Sylfaen" w:hAnsi="Sylfaen" w:cstheme="majorHAnsi"/>
        </w:rPr>
        <w:t xml:space="preserve"> შესრულების პირობით,  გამყიდველი გადასცემს საკუთრებაში,  ხოლო მყიდველი იღებს </w:t>
      </w:r>
      <w:r w:rsidR="00E37DC7">
        <w:rPr>
          <w:rFonts w:ascii="Sylfaen" w:hAnsi="Sylfaen" w:cstheme="majorHAnsi"/>
          <w:lang w:val="ka-GE"/>
        </w:rPr>
        <w:t xml:space="preserve">სს“ თამ“ თბილავიამშენის </w:t>
      </w:r>
      <w:r w:rsidRPr="003954D5">
        <w:rPr>
          <w:rFonts w:ascii="Sylfaen" w:hAnsi="Sylfaen" w:cstheme="majorHAnsi"/>
        </w:rPr>
        <w:t xml:space="preserve"> საკუთრებაში არსებულ </w:t>
      </w:r>
      <w:r w:rsidR="00B2387E">
        <w:rPr>
          <w:rFonts w:ascii="Sylfaen" w:hAnsi="Sylfaen" w:cstheme="majorHAnsi"/>
          <w:lang w:val="ka-GE"/>
        </w:rPr>
        <w:t>უძრავ</w:t>
      </w:r>
      <w:r w:rsidRPr="003954D5">
        <w:rPr>
          <w:rFonts w:ascii="Sylfaen" w:hAnsi="Sylfaen" w:cstheme="majorHAnsi"/>
        </w:rPr>
        <w:t xml:space="preserve"> </w:t>
      </w:r>
      <w:r w:rsidR="00AB0C2D">
        <w:rPr>
          <w:rFonts w:ascii="Sylfaen" w:hAnsi="Sylfaen" w:cstheme="majorHAnsi"/>
          <w:lang w:val="ka-GE"/>
        </w:rPr>
        <w:t>ქონებას</w:t>
      </w:r>
      <w:r w:rsidRPr="003954D5">
        <w:rPr>
          <w:rFonts w:ascii="Sylfaen" w:hAnsi="Sylfaen" w:cstheme="majorHAnsi"/>
        </w:rPr>
        <w:t xml:space="preserve"> (შემდგომში – ქონებას)</w:t>
      </w:r>
      <w:r w:rsidRPr="003954D5">
        <w:rPr>
          <w:rFonts w:ascii="Sylfaen" w:hAnsi="Sylfaen" w:cstheme="majorHAnsi"/>
          <w:lang w:val="ka-GE"/>
        </w:rPr>
        <w:t>, კერძოდ</w:t>
      </w:r>
      <w:r w:rsidR="00CA72D0">
        <w:rPr>
          <w:rFonts w:ascii="Sylfaen" w:hAnsi="Sylfaen" w:cstheme="majorHAnsi"/>
        </w:rPr>
        <w:t xml:space="preserve"> </w:t>
      </w:r>
      <w:r w:rsidRPr="003954D5">
        <w:rPr>
          <w:rFonts w:ascii="Sylfaen" w:hAnsi="Sylfaen" w:cstheme="majorHAnsi"/>
          <w:lang w:val="ka-GE"/>
        </w:rPr>
        <w:t xml:space="preserve"> </w:t>
      </w:r>
      <w:r w:rsidR="00896F0C">
        <w:rPr>
          <w:rFonts w:ascii="Sylfaen" w:hAnsi="Sylfaen" w:cstheme="majorHAnsi"/>
          <w:b/>
          <w:lang w:val="ka-GE"/>
        </w:rPr>
        <w:t>378</w:t>
      </w:r>
      <w:r w:rsidR="00BD016A">
        <w:rPr>
          <w:rFonts w:ascii="Sylfaen" w:hAnsi="Sylfaen" w:cstheme="majorHAnsi"/>
          <w:b/>
          <w:lang w:val="ka-GE"/>
        </w:rPr>
        <w:t xml:space="preserve"> </w:t>
      </w:r>
      <w:r w:rsidR="00896F0C">
        <w:rPr>
          <w:rFonts w:ascii="Sylfaen" w:hAnsi="Sylfaen" w:cstheme="majorHAnsi"/>
          <w:b/>
          <w:lang w:val="ka-GE"/>
        </w:rPr>
        <w:t xml:space="preserve">კვ მეტრის ფართობის ბინას შავი კარკასის მდგომარეობით </w:t>
      </w:r>
    </w:p>
    <w:p w14:paraId="3CFA8931" w14:textId="24CCA37B" w:rsidR="006C4793" w:rsidRPr="003954D5" w:rsidRDefault="002E5F87" w:rsidP="006C4793">
      <w:pPr>
        <w:jc w:val="both"/>
        <w:rPr>
          <w:rFonts w:ascii="Sylfaen" w:hAnsi="Sylfaen" w:cstheme="majorHAnsi"/>
          <w:b/>
          <w:color w:val="FF0000"/>
          <w:lang w:val="ka-GE"/>
        </w:rPr>
      </w:pPr>
      <w:r w:rsidRPr="003954D5">
        <w:rPr>
          <w:rFonts w:ascii="Sylfaen" w:hAnsi="Sylfaen"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w:t>
      </w:r>
      <w:r w:rsidRPr="003954D5">
        <w:rPr>
          <w:rFonts w:ascii="Sylfaen" w:eastAsia="Times New Roman" w:hAnsi="Sylfaen" w:cstheme="majorHAnsi"/>
          <w:b/>
          <w:lang w:val="ka-GE" w:eastAsia="x-none"/>
        </w:rPr>
        <w:t xml:space="preserve">) </w:t>
      </w:r>
      <w:r w:rsidRPr="003954D5">
        <w:rPr>
          <w:rFonts w:ascii="Sylfaen" w:eastAsia="Times New Roman" w:hAnsi="Sylfaen" w:cstheme="majorHAnsi"/>
          <w:b/>
          <w:lang w:eastAsia="x-none"/>
        </w:rPr>
        <w:t>ლარს</w:t>
      </w:r>
      <w:r w:rsidRPr="003954D5">
        <w:rPr>
          <w:rFonts w:ascii="Sylfaen" w:hAnsi="Sylfaen" w:cstheme="majorHAnsi"/>
          <w:lang w:val="ka-GE"/>
        </w:rPr>
        <w:t>.</w:t>
      </w:r>
      <w:r w:rsidR="00E15946" w:rsidRPr="003954D5">
        <w:rPr>
          <w:rFonts w:ascii="Sylfaen" w:hAnsi="Sylfaen" w:cstheme="majorHAnsi"/>
          <w:lang w:val="ka-GE"/>
        </w:rPr>
        <w:t xml:space="preserve"> </w:t>
      </w:r>
    </w:p>
    <w:p w14:paraId="748C8BC1" w14:textId="77777777" w:rsidR="002E5F87" w:rsidRPr="003954D5" w:rsidRDefault="002E5F87" w:rsidP="00D655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2AB0270E" w14:textId="4DBCE8C0"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lang w:val="ka-GE"/>
        </w:rPr>
        <w:t>ანგარიშსწორების პირობები</w:t>
      </w:r>
    </w:p>
    <w:p w14:paraId="42D7184E" w14:textId="77777777" w:rsidR="002E5F87" w:rsidRPr="003954D5"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cstheme="majorHAnsi"/>
          <w:lang w:val="ka-GE"/>
        </w:rPr>
      </w:pPr>
      <w:r w:rsidRPr="003954D5">
        <w:rPr>
          <w:rFonts w:cstheme="majorHAnsi"/>
          <w:lang w:val="ka-GE"/>
        </w:rPr>
        <w:t xml:space="preserve">მყიდველი ვალდებულია ხელშეკრულების 1.2 პუნქტში მითითებული თანხა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eastAsia="Times New Roman" w:cstheme="majorHAnsi"/>
          <w:b/>
          <w:lang w:eastAsia="x-none"/>
        </w:rPr>
        <w:t>ლარი</w:t>
      </w:r>
      <w:r w:rsidRPr="003954D5">
        <w:rPr>
          <w:rFonts w:cstheme="majorHAnsi"/>
          <w:lang w:val="ka-GE"/>
        </w:rPr>
        <w:t xml:space="preserve">, მის მიერ გადახდილი „ბე“-ს თანხის (საგარანტიო თანხის)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ლარის</w:t>
      </w:r>
      <w:r w:rsidRPr="003954D5">
        <w:rPr>
          <w:rFonts w:cstheme="majorHAnsi"/>
          <w:lang w:val="ka-GE"/>
        </w:rPr>
        <w:t xml:space="preserve"> გამოკლებით, კერძოდ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w:t>
      </w:r>
      <w:r w:rsidRPr="003954D5">
        <w:rPr>
          <w:rFonts w:cstheme="majorHAnsi"/>
          <w:lang w:val="ka-GE"/>
        </w:rPr>
        <w:t xml:space="preserve"> ჩარიცხოს შემდეგ ანგარიშზე:</w:t>
      </w:r>
    </w:p>
    <w:p w14:paraId="4804FF28"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39FEFF83" w14:textId="63A5BF73" w:rsidR="002E5F87" w:rsidRPr="003954D5" w:rsidRDefault="00A11AA0" w:rsidP="008F321D">
      <w:pPr>
        <w:tabs>
          <w:tab w:val="left" w:pos="142"/>
        </w:tabs>
        <w:ind w:right="-628"/>
        <w:rPr>
          <w:rFonts w:ascii="Sylfaen" w:hAnsi="Sylfaen" w:cstheme="majorHAnsi"/>
          <w:lang w:val="ka-GE"/>
        </w:rPr>
      </w:pPr>
      <w:r w:rsidRPr="003954D5">
        <w:rPr>
          <w:rFonts w:ascii="Sylfaen" w:hAnsi="Sylfaen" w:cstheme="majorHAnsi"/>
          <w:lang w:val="ka-GE"/>
        </w:rPr>
        <w:t>სს „თამ“ თბილავიამშენი</w:t>
      </w:r>
      <w:r w:rsidR="002E5F87" w:rsidRPr="003954D5">
        <w:rPr>
          <w:rFonts w:ascii="Sylfaen" w:hAnsi="Sylfaen" w:cstheme="majorHAnsi"/>
          <w:lang w:val="ka-GE"/>
        </w:rPr>
        <w:br/>
      </w:r>
      <w:r w:rsidRPr="003954D5">
        <w:rPr>
          <w:rFonts w:ascii="Sylfaen" w:hAnsi="Sylfaen" w:cstheme="majorHAnsi"/>
          <w:lang w:val="ka-GE"/>
        </w:rPr>
        <w:t>საიდენტიფიკაციო კოდი</w:t>
      </w:r>
      <w:r w:rsidR="002E5F87" w:rsidRPr="003954D5">
        <w:rPr>
          <w:rFonts w:ascii="Sylfaen" w:hAnsi="Sylfaen" w:cstheme="majorHAnsi"/>
          <w:lang w:val="ka-GE"/>
        </w:rPr>
        <w:t xml:space="preserve"> - </w:t>
      </w:r>
      <w:r w:rsidRPr="003954D5">
        <w:rPr>
          <w:rFonts w:ascii="Sylfaen" w:hAnsi="Sylfaen" w:cstheme="majorHAnsi"/>
          <w:lang w:val="ka-GE"/>
        </w:rPr>
        <w:t>208144541</w:t>
      </w:r>
      <w:r w:rsidR="002E5F87" w:rsidRPr="003954D5">
        <w:rPr>
          <w:rFonts w:ascii="Sylfaen" w:hAnsi="Sylfaen" w:cstheme="majorHAnsi"/>
          <w:lang w:val="ka-GE"/>
        </w:rPr>
        <w:br/>
      </w:r>
      <w:r w:rsidR="0008279D" w:rsidRPr="003954D5">
        <w:rPr>
          <w:rFonts w:ascii="Sylfaen" w:hAnsi="Sylfaen" w:cstheme="majorHAnsi"/>
          <w:lang w:val="ka-GE"/>
        </w:rPr>
        <w:t>მომსახურე</w:t>
      </w:r>
      <w:r w:rsidR="002E5F87" w:rsidRPr="003954D5">
        <w:rPr>
          <w:rFonts w:ascii="Sylfaen" w:hAnsi="Sylfaen" w:cstheme="majorHAnsi"/>
          <w:lang w:val="ka-GE"/>
        </w:rPr>
        <w:t xml:space="preserve"> ბანკი - </w:t>
      </w:r>
      <w:r w:rsidRPr="003954D5">
        <w:rPr>
          <w:rFonts w:ascii="Sylfaen" w:hAnsi="Sylfaen" w:cstheme="majorHAnsi"/>
          <w:lang w:val="ka-GE"/>
        </w:rPr>
        <w:t>საქართველოს ბანკი</w:t>
      </w:r>
      <w:r w:rsidR="002E5F87" w:rsidRPr="003954D5">
        <w:rPr>
          <w:rFonts w:ascii="Sylfaen" w:hAnsi="Sylfaen" w:cstheme="majorHAnsi"/>
          <w:lang w:val="ka-GE"/>
        </w:rPr>
        <w:br/>
        <w:t xml:space="preserve">ბანკის კოდი - </w:t>
      </w:r>
      <w:r w:rsidRPr="003954D5">
        <w:rPr>
          <w:rFonts w:ascii="Sylfaen" w:hAnsi="Sylfaen" w:cstheme="majorHAnsi"/>
        </w:rPr>
        <w:t>BAGAGE22</w:t>
      </w:r>
      <w:r w:rsidR="002E5F87" w:rsidRPr="003954D5">
        <w:rPr>
          <w:rFonts w:ascii="Sylfaen" w:hAnsi="Sylfaen" w:cstheme="majorHAnsi"/>
          <w:lang w:val="ka-GE"/>
        </w:rPr>
        <w:t>;</w:t>
      </w:r>
      <w:r w:rsidR="002E5F87" w:rsidRPr="003954D5">
        <w:rPr>
          <w:rFonts w:ascii="Sylfaen" w:hAnsi="Sylfaen" w:cstheme="majorHAnsi"/>
          <w:highlight w:val="yellow"/>
          <w:lang w:val="ka-GE"/>
        </w:rPr>
        <w:br/>
      </w:r>
      <w:r w:rsidR="002D4DE3" w:rsidRPr="003954D5">
        <w:rPr>
          <w:rFonts w:ascii="Sylfaen" w:hAnsi="Sylfaen" w:cstheme="majorHAnsi"/>
          <w:lang w:val="ka-GE"/>
        </w:rPr>
        <w:t>ანგარიშის ნომერი:</w:t>
      </w:r>
      <w:r w:rsidR="002E5F87" w:rsidRPr="003954D5">
        <w:rPr>
          <w:rFonts w:ascii="Sylfaen" w:hAnsi="Sylfaen" w:cstheme="majorHAnsi"/>
          <w:sz w:val="24"/>
        </w:rPr>
        <w:t xml:space="preserve"> </w:t>
      </w:r>
      <w:r w:rsidR="002D4DE3" w:rsidRPr="003954D5">
        <w:rPr>
          <w:rFonts w:ascii="Sylfaen" w:hAnsi="Sylfaen" w:cstheme="majorHAnsi"/>
          <w:sz w:val="24"/>
        </w:rPr>
        <w:t>GE36BG0000000119260401</w:t>
      </w:r>
    </w:p>
    <w:p w14:paraId="069D1B70" w14:textId="6170C4B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საბოლოო ანგარიშსწორებისას მყიდველს გადახდილი </w:t>
      </w:r>
      <w:proofErr w:type="gramStart"/>
      <w:r w:rsidRPr="003954D5">
        <w:rPr>
          <w:rFonts w:ascii="Sylfaen" w:hAnsi="Sylfaen" w:cstheme="majorHAnsi"/>
        </w:rPr>
        <w:t xml:space="preserve">ბე </w:t>
      </w:r>
      <w:r w:rsidR="00287F1E" w:rsidRPr="003954D5">
        <w:rPr>
          <w:rFonts w:ascii="Sylfaen" w:eastAsia="Times New Roman" w:hAnsi="Sylfaen" w:cstheme="majorHAnsi"/>
          <w:b/>
          <w:lang w:val="ka-GE" w:eastAsia="x-none"/>
        </w:rPr>
        <w:t>???</w:t>
      </w:r>
      <w:proofErr w:type="gramEnd"/>
      <w:r w:rsidR="00287F1E" w:rsidRPr="003954D5">
        <w:rPr>
          <w:rFonts w:ascii="Sylfaen" w:eastAsia="Times New Roman" w:hAnsi="Sylfaen" w:cstheme="majorHAnsi"/>
          <w:b/>
          <w:lang w:val="ka-GE" w:eastAsia="x-none"/>
        </w:rPr>
        <w:t xml:space="preserve"> </w:t>
      </w:r>
      <w:r w:rsidR="00287F1E"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 xml:space="preserve">???) </w:t>
      </w:r>
      <w:r w:rsidRPr="003954D5">
        <w:rPr>
          <w:rFonts w:ascii="Sylfaen" w:hAnsi="Sylfaen" w:cstheme="majorHAnsi"/>
          <w:lang w:val="ka-GE"/>
        </w:rPr>
        <w:t xml:space="preserve">ლარი </w:t>
      </w:r>
      <w:r w:rsidRPr="003954D5">
        <w:rPr>
          <w:rFonts w:ascii="Sylfaen" w:hAnsi="Sylfaen" w:cstheme="majorHAnsi"/>
        </w:rPr>
        <w:t>ეთვლება საპრივატიზებო შემოსულობის ნაწილად.</w:t>
      </w:r>
    </w:p>
    <w:p w14:paraId="54324FCF" w14:textId="573BBEC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მყიდველი ვალდებულია ქონების საპრივატიზებო საფასური გადაიხადოს აუქციონის </w:t>
      </w:r>
      <w:r w:rsidR="00184F3F">
        <w:rPr>
          <w:rFonts w:ascii="Sylfaen" w:hAnsi="Sylfaen" w:cstheme="majorHAnsi"/>
          <w:lang w:val="ka-GE"/>
        </w:rPr>
        <w:t>დასრულებიდან</w:t>
      </w:r>
      <w:r w:rsidRPr="003954D5">
        <w:rPr>
          <w:rFonts w:ascii="Sylfaen" w:hAnsi="Sylfaen" w:cstheme="majorHAnsi"/>
        </w:rPr>
        <w:t xml:space="preserve"> </w:t>
      </w:r>
      <w:r w:rsidRPr="003954D5">
        <w:rPr>
          <w:rFonts w:ascii="Sylfaen" w:hAnsi="Sylfaen" w:cstheme="majorHAnsi"/>
          <w:lang w:val="ka-GE"/>
        </w:rPr>
        <w:t xml:space="preserve">არაუგვიანეს </w:t>
      </w:r>
      <w:r w:rsidR="00AB0C2D">
        <w:rPr>
          <w:rFonts w:ascii="Sylfaen" w:hAnsi="Sylfaen" w:cstheme="majorHAnsi"/>
          <w:lang w:val="ka-GE"/>
        </w:rPr>
        <w:t>10</w:t>
      </w:r>
      <w:r w:rsidRPr="003954D5">
        <w:rPr>
          <w:rFonts w:ascii="Sylfaen" w:hAnsi="Sylfaen" w:cstheme="majorHAnsi"/>
          <w:lang w:val="ka-GE"/>
        </w:rPr>
        <w:t xml:space="preserve"> კალენდარული დღის ვადაში, კერძოდ </w:t>
      </w:r>
      <w:r w:rsidR="00767C66" w:rsidRPr="003954D5">
        <w:rPr>
          <w:rFonts w:ascii="Sylfaen" w:hAnsi="Sylfaen" w:cstheme="majorHAnsi"/>
          <w:b/>
          <w:lang w:val="ka-GE"/>
        </w:rPr>
        <w:t>202</w:t>
      </w:r>
      <w:r w:rsidR="002D4DE3" w:rsidRPr="003954D5">
        <w:rPr>
          <w:rFonts w:ascii="Sylfaen" w:hAnsi="Sylfaen" w:cstheme="majorHAnsi"/>
          <w:b/>
        </w:rPr>
        <w:t>2</w:t>
      </w:r>
      <w:r w:rsidRPr="003954D5">
        <w:rPr>
          <w:rFonts w:ascii="Sylfaen" w:hAnsi="Sylfaen" w:cstheme="majorHAnsi"/>
          <w:b/>
          <w:lang w:val="ka-GE"/>
        </w:rPr>
        <w:t xml:space="preserve"> </w:t>
      </w:r>
      <w:proofErr w:type="gramStart"/>
      <w:r w:rsidRPr="003954D5">
        <w:rPr>
          <w:rFonts w:ascii="Sylfaen" w:hAnsi="Sylfaen" w:cstheme="majorHAnsi"/>
          <w:b/>
          <w:lang w:val="ka-GE"/>
        </w:rPr>
        <w:t xml:space="preserve">წლის </w:t>
      </w:r>
      <w:r w:rsidR="00287F1E" w:rsidRPr="003954D5">
        <w:rPr>
          <w:rFonts w:ascii="Sylfaen" w:hAnsi="Sylfaen" w:cstheme="majorHAnsi"/>
          <w:b/>
          <w:lang w:val="ka-GE"/>
        </w:rPr>
        <w:t>????</w:t>
      </w:r>
      <w:proofErr w:type="gramEnd"/>
      <w:r w:rsidR="00767C66" w:rsidRPr="003954D5">
        <w:rPr>
          <w:rFonts w:ascii="Sylfaen" w:hAnsi="Sylfaen" w:cstheme="majorHAnsi"/>
          <w:b/>
          <w:lang w:val="ka-GE"/>
        </w:rPr>
        <w:t xml:space="preserve"> მდე</w:t>
      </w:r>
      <w:r w:rsidR="00767C66" w:rsidRPr="003954D5">
        <w:rPr>
          <w:rFonts w:ascii="Sylfaen" w:hAnsi="Sylfaen" w:cstheme="majorHAnsi"/>
          <w:lang w:val="ka-GE"/>
        </w:rPr>
        <w:t>.</w:t>
      </w:r>
    </w:p>
    <w:p w14:paraId="6546DA10" w14:textId="1FB2B287" w:rsidR="00BC2F0F" w:rsidRPr="00F83DB9" w:rsidRDefault="002E5F87" w:rsidP="003954D5">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lastRenderedPageBreak/>
        <w:t>თუ ვადის ბოლო დღე არ ემთხვევა სამუშაო დღეს, გადახდის ვადად ჩაითვლება მომდევნო სამუშაო დღე.</w:t>
      </w:r>
      <w:r w:rsidRPr="003954D5">
        <w:rPr>
          <w:rFonts w:ascii="Sylfaen" w:hAnsi="Sylfaen"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7DFAEFF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მხარეთა უფლებები და მოვალეობები</w:t>
      </w:r>
    </w:p>
    <w:p w14:paraId="1ED5BAD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მყიდველი ვალდებულია:</w:t>
      </w:r>
      <w:r w:rsidRPr="003954D5">
        <w:rPr>
          <w:rFonts w:ascii="Sylfaen" w:hAnsi="Sylfaen" w:cstheme="majorHAnsi"/>
        </w:rPr>
        <w:tab/>
      </w:r>
    </w:p>
    <w:p w14:paraId="086E972A" w14:textId="61127B45"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3.1.1.</w:t>
      </w:r>
      <w:r w:rsidR="008F321D" w:rsidRPr="003954D5">
        <w:rPr>
          <w:rFonts w:ascii="Sylfaen" w:hAnsi="Sylfaen" w:cstheme="majorHAnsi"/>
        </w:rPr>
        <w:t xml:space="preserve"> </w:t>
      </w:r>
      <w:r w:rsidRPr="003954D5">
        <w:rPr>
          <w:rFonts w:ascii="Sylfaen" w:hAnsi="Sylfaen"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3.1.2. ხელშეკრულების მოქმედების პერიოდში დაიცვას ხელშეკრულებით ნაკისრი ვალდებულებები.</w:t>
      </w:r>
    </w:p>
    <w:p w14:paraId="727D7181" w14:textId="1D8213D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 ვალდებულია:</w:t>
      </w:r>
    </w:p>
    <w:p w14:paraId="51785507" w14:textId="7697F71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sidRPr="003954D5">
        <w:rPr>
          <w:rFonts w:ascii="Sylfaen" w:hAnsi="Sylfaen" w:cstheme="majorHAnsi"/>
          <w:lang w:val="ka-GE"/>
        </w:rPr>
        <w:t>ბა</w:t>
      </w:r>
    </w:p>
    <w:p w14:paraId="1062CE6E"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996001E"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ხელშეკრულების განსაკუთრებული პირობები</w:t>
      </w:r>
    </w:p>
    <w:p w14:paraId="4A8F548B" w14:textId="28DE78B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w:t>
      </w:r>
      <w:r w:rsidR="007E0374" w:rsidRPr="003954D5">
        <w:rPr>
          <w:rFonts w:ascii="Sylfaen" w:hAnsi="Sylfaen" w:cstheme="majorHAnsi"/>
          <w:lang w:val="ka-GE"/>
        </w:rPr>
        <w:t xml:space="preserve"> </w:t>
      </w:r>
      <w:r w:rsidRPr="003954D5">
        <w:rPr>
          <w:rFonts w:ascii="Sylfaen" w:hAnsi="Sylfaen" w:cstheme="majorHAnsi"/>
        </w:rPr>
        <w:t xml:space="preserve">  </w:t>
      </w:r>
    </w:p>
    <w:p w14:paraId="77AB2392"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w:t>
      </w:r>
      <w:proofErr w:type="gramStart"/>
      <w:r w:rsidRPr="003954D5">
        <w:rPr>
          <w:rFonts w:ascii="Sylfaen" w:hAnsi="Sylfaen" w:cstheme="majorHAnsi"/>
        </w:rPr>
        <w:t>ზე  საპრივატიზებო</w:t>
      </w:r>
      <w:proofErr w:type="gramEnd"/>
      <w:r w:rsidRPr="003954D5">
        <w:rPr>
          <w:rFonts w:ascii="Sylfaen" w:hAnsi="Sylfaen" w:cstheme="majorHAnsi"/>
        </w:rPr>
        <w:t xml:space="preserve">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ქონების შემძენს შეძენილ ქონებაზე საპრივატიზებო საფასურის </w:t>
      </w:r>
      <w:proofErr w:type="gramStart"/>
      <w:r w:rsidRPr="003954D5">
        <w:rPr>
          <w:rFonts w:ascii="Sylfaen" w:hAnsi="Sylfaen" w:cstheme="majorHAnsi"/>
        </w:rPr>
        <w:t>გადახდამდე  არ</w:t>
      </w:r>
      <w:proofErr w:type="gramEnd"/>
      <w:r w:rsidRPr="003954D5">
        <w:rPr>
          <w:rFonts w:ascii="Sylfaen" w:hAnsi="Sylfaen" w:cstheme="majorHAnsi"/>
        </w:rPr>
        <w:t xml:space="preserve"> აქვს უფლება შეძენილი ქონება გასცეს სარგებლობის უფლებით ან სხვაგვარად დატვირთოს.</w:t>
      </w:r>
    </w:p>
    <w:p w14:paraId="0F631404" w14:textId="3C14996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 ვალდებულია, შეძენილი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0E9C8EFB"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3954D5">
        <w:rPr>
          <w:rFonts w:ascii="Sylfaen" w:hAnsi="Sylfaen" w:cstheme="majorHAnsi"/>
        </w:rPr>
        <w:t xml:space="preserve">გამოსწორების ვადის (რომელიც არ აღემატება 10 კალენდარულ დღეს) და პირგასამტეხლოს ოდენობის </w:t>
      </w:r>
      <w:proofErr w:type="gramStart"/>
      <w:r w:rsidR="008869E8" w:rsidRPr="003954D5">
        <w:rPr>
          <w:rFonts w:ascii="Sylfaen" w:hAnsi="Sylfaen" w:cstheme="majorHAnsi"/>
        </w:rPr>
        <w:t>მითითებით.</w:t>
      </w:r>
      <w:r w:rsidRPr="003954D5">
        <w:rPr>
          <w:rFonts w:ascii="Sylfaen" w:hAnsi="Sylfaen" w:cstheme="majorHAnsi"/>
        </w:rPr>
        <w:t>.</w:t>
      </w:r>
      <w:proofErr w:type="gramEnd"/>
      <w:r w:rsidRPr="003954D5">
        <w:rPr>
          <w:rFonts w:ascii="Sylfaen" w:hAnsi="Sylfaen" w:cstheme="majorHAnsi"/>
        </w:rPr>
        <w:t xml:space="preserve"> კერძოდ:</w:t>
      </w:r>
    </w:p>
    <w:p w14:paraId="76141BC9"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1112297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w:t>
      </w:r>
      <w:proofErr w:type="gramStart"/>
      <w:r w:rsidRPr="003954D5">
        <w:rPr>
          <w:rFonts w:ascii="Sylfaen" w:hAnsi="Sylfaen" w:cstheme="majorHAnsi"/>
        </w:rPr>
        <w:t>და  სახელმწიფო</w:t>
      </w:r>
      <w:proofErr w:type="gramEnd"/>
      <w:r w:rsidRPr="003954D5">
        <w:rPr>
          <w:rFonts w:ascii="Sylfaen" w:hAnsi="Sylfaen" w:cstheme="majorHAnsi"/>
        </w:rPr>
        <w:t xml:space="preserve">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 xml:space="preserve">გ) დაარღვია აუქციონში მონაწილეობის „სახელმწიფო ქონების შესახებ” საქართველოს </w:t>
      </w:r>
      <w:proofErr w:type="gramStart"/>
      <w:r w:rsidRPr="003954D5">
        <w:rPr>
          <w:rFonts w:ascii="Sylfaen" w:hAnsi="Sylfaen" w:cstheme="majorHAnsi"/>
        </w:rPr>
        <w:t>კანონით  გათვალისწინებული</w:t>
      </w:r>
      <w:proofErr w:type="gramEnd"/>
      <w:r w:rsidRPr="003954D5">
        <w:rPr>
          <w:rFonts w:ascii="Sylfaen" w:hAnsi="Sylfaen" w:cstheme="majorHAnsi"/>
        </w:rPr>
        <w:t xml:space="preserve"> პირობები.</w:t>
      </w:r>
    </w:p>
    <w:p w14:paraId="144032E3" w14:textId="7D4EFCEE" w:rsidR="002E5F87"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A4A2CD9" w14:textId="77777777" w:rsidR="00A65C07" w:rsidRDefault="00A65C0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28406B13" w14:textId="7C876CCB" w:rsidR="00CD06F4"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2659896" w14:textId="3E9BA19C" w:rsidR="00FA7623" w:rsidRDefault="00FA7623"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393C5E5" w14:textId="77777777" w:rsidR="00FA7623" w:rsidRDefault="00FA7623"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DA91393" w14:textId="77777777" w:rsidR="00CD06F4" w:rsidRPr="003954D5" w:rsidRDefault="00CD06F4"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DECE2C3"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lastRenderedPageBreak/>
        <w:t xml:space="preserve"> ფორსმაჟორი</w:t>
      </w:r>
    </w:p>
    <w:p w14:paraId="03C44AC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3954D5">
        <w:rPr>
          <w:rFonts w:ascii="Sylfaen" w:hAnsi="Sylfaen"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BAAC63C"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შეტყობინებები და ენა</w:t>
      </w:r>
    </w:p>
    <w:p w14:paraId="4183D4E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3954D5">
        <w:rPr>
          <w:rFonts w:ascii="Sylfaen" w:hAnsi="Sylfaen" w:cstheme="majorHAnsi"/>
        </w:rPr>
        <w:t>,</w:t>
      </w:r>
      <w:r w:rsidRPr="003954D5">
        <w:rPr>
          <w:rFonts w:ascii="Sylfaen" w:hAnsi="Sylfaen" w:cstheme="majorHAnsi"/>
        </w:rPr>
        <w:t xml:space="preserve"> კურიერის</w:t>
      </w:r>
      <w:r w:rsidR="00385399" w:rsidRPr="003954D5">
        <w:rPr>
          <w:rFonts w:ascii="Sylfaen" w:hAnsi="Sylfaen" w:cstheme="majorHAnsi"/>
        </w:rPr>
        <w:t xml:space="preserve"> ან ხელშეკრულებაში მითითებული ელექტრონული ფოსტის </w:t>
      </w:r>
      <w:r w:rsidRPr="003954D5">
        <w:rPr>
          <w:rFonts w:ascii="Sylfaen" w:hAnsi="Sylfaen" w:cstheme="majorHAnsi"/>
        </w:rPr>
        <w:t>მეშვეობით, ხელშეკრულებით გათვალისწინებულ მისამართებზე.</w:t>
      </w:r>
    </w:p>
    <w:p w14:paraId="12ED728D"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გამყიდველის შეტყობინების მონაცემები:</w:t>
      </w:r>
    </w:p>
    <w:p w14:paraId="3A505939"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77BBCEB"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210B5BB7"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4BCA34E0"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275B5476" w14:textId="77777777" w:rsidR="0040547A" w:rsidRPr="003954D5"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lang w:val="ka-GE"/>
        </w:rPr>
      </w:pPr>
    </w:p>
    <w:p w14:paraId="75C3F999"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მყიდველის შეტყობინების მონაცემები</w:t>
      </w:r>
    </w:p>
    <w:p w14:paraId="7A4B4E67"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60BADF2"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791CDF5F"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63B24422" w14:textId="77777777" w:rsidR="0040547A" w:rsidRPr="003954D5"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48ECB9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შეტყობინება მიღებულად ჩაითვლება ადრესატისთვის </w:t>
      </w:r>
      <w:proofErr w:type="gramStart"/>
      <w:r w:rsidRPr="003954D5">
        <w:rPr>
          <w:rFonts w:ascii="Sylfaen" w:hAnsi="Sylfaen" w:cstheme="majorHAnsi"/>
        </w:rPr>
        <w:t xml:space="preserve">მისი </w:t>
      </w:r>
      <w:r w:rsidR="0040547A" w:rsidRPr="003954D5">
        <w:rPr>
          <w:rFonts w:ascii="Sylfaen" w:hAnsi="Sylfaen" w:cstheme="majorHAnsi"/>
        </w:rPr>
        <w:t xml:space="preserve"> </w:t>
      </w:r>
      <w:r w:rsidRPr="003954D5">
        <w:rPr>
          <w:rFonts w:ascii="Sylfaen" w:hAnsi="Sylfaen" w:cstheme="majorHAnsi"/>
        </w:rPr>
        <w:t>გადაცემის</w:t>
      </w:r>
      <w:proofErr w:type="gramEnd"/>
      <w:r w:rsidRPr="003954D5">
        <w:rPr>
          <w:rFonts w:ascii="Sylfaen" w:hAnsi="Sylfaen" w:cstheme="majorHAnsi"/>
        </w:rPr>
        <w:t xml:space="preserve"> ან გაცნობის მომენტიდან</w:t>
      </w:r>
      <w:r w:rsidR="00D13CE2" w:rsidRPr="003954D5">
        <w:rPr>
          <w:rFonts w:ascii="Sylfaen" w:hAnsi="Sylfaen"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rPr>
      </w:pPr>
    </w:p>
    <w:p w14:paraId="44873747"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დავების გადაწყვეტა</w:t>
      </w:r>
    </w:p>
    <w:p w14:paraId="12606FA5" w14:textId="43398AB5"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3954D5">
        <w:rPr>
          <w:rFonts w:ascii="Sylfaen" w:hAnsi="Sylfaen" w:cstheme="majorHAnsi"/>
        </w:rPr>
        <w:t xml:space="preserve">, </w:t>
      </w:r>
      <w:r w:rsidRPr="003954D5">
        <w:rPr>
          <w:rFonts w:ascii="Sylfaen" w:hAnsi="Sylfaen" w:cstheme="majorHAnsi"/>
        </w:rPr>
        <w:t>საქართველოს კანონმდებლობის შესაბამისად.</w:t>
      </w:r>
    </w:p>
    <w:p w14:paraId="18A7C00C" w14:textId="116E2CDF"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4ABC1C10" w14:textId="2D8D5C5E"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231D51B9" w14:textId="77777777"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767F3B30"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rPr>
        <w:t>სხვა დებულებები</w:t>
      </w:r>
    </w:p>
    <w:p w14:paraId="0A0E8E7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წინამდებარე ხელშეკრულება გაფორმებულია ქართულ ენაზე, თანაბარი იურიდიული ძალის </w:t>
      </w:r>
      <w:proofErr w:type="gramStart"/>
      <w:r w:rsidRPr="003954D5">
        <w:rPr>
          <w:rFonts w:ascii="Sylfaen" w:hAnsi="Sylfaen" w:cstheme="majorHAnsi"/>
        </w:rPr>
        <w:t>მქონე  2</w:t>
      </w:r>
      <w:proofErr w:type="gramEnd"/>
      <w:r w:rsidRPr="003954D5">
        <w:rPr>
          <w:rFonts w:ascii="Sylfaen" w:hAnsi="Sylfaen" w:cstheme="majorHAnsi"/>
        </w:rPr>
        <w:t xml:space="preserve"> (ორი) ეგზემპლარად: 1 ეგზემპლარი გადაეცემა მყიდველს, ხოლო</w:t>
      </w:r>
      <w:r w:rsidR="00767C66" w:rsidRPr="003954D5">
        <w:rPr>
          <w:rFonts w:ascii="Sylfaen" w:hAnsi="Sylfaen" w:cstheme="majorHAnsi"/>
        </w:rPr>
        <w:t xml:space="preserve"> მეორე</w:t>
      </w:r>
      <w:r w:rsidRPr="003954D5">
        <w:rPr>
          <w:rFonts w:ascii="Sylfaen" w:hAnsi="Sylfaen" w:cstheme="majorHAnsi"/>
        </w:rPr>
        <w:t xml:space="preserve"> ეგზემპლარი გამყიდველს. </w:t>
      </w:r>
    </w:p>
    <w:p w14:paraId="60E5F2E0" w14:textId="7D28FD8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3954D5"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theme="majorHAnsi"/>
        </w:rPr>
      </w:pPr>
    </w:p>
    <w:p w14:paraId="7CCB18C3" w14:textId="04C473D5" w:rsidR="00291518" w:rsidRPr="003954D5"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sidRPr="003954D5">
        <w:rPr>
          <w:rFonts w:ascii="Sylfaen" w:hAnsi="Sylfaen"/>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sidRPr="003954D5">
        <w:rPr>
          <w:rFonts w:ascii="Sylfaen" w:hAnsi="Sylfaen"/>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3954D5" w:rsidRDefault="002E5F87" w:rsidP="00D326FD">
      <w:pPr>
        <w:rPr>
          <w:rFonts w:ascii="Sylfaen" w:hAnsi="Sylfaen"/>
        </w:rPr>
      </w:pPr>
    </w:p>
    <w:sectPr w:rsidR="002E5F87" w:rsidRPr="003954D5"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515069220">
    <w:abstractNumId w:val="2"/>
  </w:num>
  <w:num w:numId="2" w16cid:durableId="1784227418">
    <w:abstractNumId w:val="0"/>
  </w:num>
  <w:num w:numId="3" w16cid:durableId="2129421670">
    <w:abstractNumId w:val="3"/>
  </w:num>
  <w:num w:numId="4" w16cid:durableId="40916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27D92"/>
    <w:rsid w:val="000736E6"/>
    <w:rsid w:val="0008279D"/>
    <w:rsid w:val="000A1FAB"/>
    <w:rsid w:val="000C7B77"/>
    <w:rsid w:val="000E7BF6"/>
    <w:rsid w:val="00155BE1"/>
    <w:rsid w:val="00184F3F"/>
    <w:rsid w:val="0021543B"/>
    <w:rsid w:val="002239FE"/>
    <w:rsid w:val="0022532F"/>
    <w:rsid w:val="00287F1E"/>
    <w:rsid w:val="00291518"/>
    <w:rsid w:val="002D4DE3"/>
    <w:rsid w:val="002E5F87"/>
    <w:rsid w:val="00385399"/>
    <w:rsid w:val="003954D5"/>
    <w:rsid w:val="0040547A"/>
    <w:rsid w:val="004801FA"/>
    <w:rsid w:val="0048378F"/>
    <w:rsid w:val="0048759E"/>
    <w:rsid w:val="005241E5"/>
    <w:rsid w:val="0053383C"/>
    <w:rsid w:val="00562709"/>
    <w:rsid w:val="005B7690"/>
    <w:rsid w:val="006023AB"/>
    <w:rsid w:val="006C4793"/>
    <w:rsid w:val="00720A5F"/>
    <w:rsid w:val="00745879"/>
    <w:rsid w:val="0076464E"/>
    <w:rsid w:val="00767C66"/>
    <w:rsid w:val="007A031F"/>
    <w:rsid w:val="007E0374"/>
    <w:rsid w:val="00801CF8"/>
    <w:rsid w:val="008731D5"/>
    <w:rsid w:val="008869E8"/>
    <w:rsid w:val="00896F0C"/>
    <w:rsid w:val="008B7E82"/>
    <w:rsid w:val="008D6111"/>
    <w:rsid w:val="008E1842"/>
    <w:rsid w:val="008F321D"/>
    <w:rsid w:val="009125C9"/>
    <w:rsid w:val="00952C48"/>
    <w:rsid w:val="009619F0"/>
    <w:rsid w:val="00964DB1"/>
    <w:rsid w:val="009A5ABF"/>
    <w:rsid w:val="009C7A82"/>
    <w:rsid w:val="00A11AA0"/>
    <w:rsid w:val="00A241B2"/>
    <w:rsid w:val="00A65C07"/>
    <w:rsid w:val="00AB0C2D"/>
    <w:rsid w:val="00AD3498"/>
    <w:rsid w:val="00B2387E"/>
    <w:rsid w:val="00B42FE8"/>
    <w:rsid w:val="00B54F47"/>
    <w:rsid w:val="00B92644"/>
    <w:rsid w:val="00BA0FEF"/>
    <w:rsid w:val="00BC2F0F"/>
    <w:rsid w:val="00BD016A"/>
    <w:rsid w:val="00CA72D0"/>
    <w:rsid w:val="00CD06F4"/>
    <w:rsid w:val="00CE26BB"/>
    <w:rsid w:val="00D13CE2"/>
    <w:rsid w:val="00D326FD"/>
    <w:rsid w:val="00D53CEE"/>
    <w:rsid w:val="00D655F7"/>
    <w:rsid w:val="00D809D9"/>
    <w:rsid w:val="00DF7142"/>
    <w:rsid w:val="00E15946"/>
    <w:rsid w:val="00E37DC7"/>
    <w:rsid w:val="00E4392B"/>
    <w:rsid w:val="00E65221"/>
    <w:rsid w:val="00E921BD"/>
    <w:rsid w:val="00F83DB9"/>
    <w:rsid w:val="00FA7623"/>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2603-ED02-4C43-8211-CD0B2F5F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34</cp:revision>
  <cp:lastPrinted>2021-12-21T14:00:00Z</cp:lastPrinted>
  <dcterms:created xsi:type="dcterms:W3CDTF">2021-11-22T09:32:00Z</dcterms:created>
  <dcterms:modified xsi:type="dcterms:W3CDTF">2022-09-14T07:20:00Z</dcterms:modified>
</cp:coreProperties>
</file>